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B10E2" w14:textId="32F75C2F" w:rsidR="002E5110" w:rsidRDefault="002E5110" w:rsidP="002E5110">
      <w:pPr>
        <w:pBdr>
          <w:bottom w:val="single" w:sz="6" w:space="1" w:color="auto"/>
        </w:pBdr>
        <w:spacing w:after="0" w:line="240" w:lineRule="auto"/>
        <w:jc w:val="center"/>
        <w:textAlignment w:val="top"/>
        <w:outlineLvl w:val="0"/>
        <w:rPr>
          <w:rFonts w:ascii="Aptos" w:eastAsia="Times New Roman" w:hAnsi="Aptos" w:cs="Times New Roman"/>
          <w:spacing w:val="15"/>
          <w:kern w:val="36"/>
          <w:sz w:val="36"/>
          <w:szCs w:val="36"/>
          <w:lang w:val="nl-NL" w:eastAsia="nl-NL"/>
        </w:rPr>
      </w:pPr>
      <w:r w:rsidRPr="002E5110">
        <w:rPr>
          <w:rFonts w:ascii="Aptos" w:eastAsia="Times New Roman" w:hAnsi="Aptos" w:cs="Times New Roman"/>
          <w:spacing w:val="15"/>
          <w:kern w:val="36"/>
          <w:sz w:val="36"/>
          <w:szCs w:val="36"/>
          <w:lang w:val="nl-NL" w:eastAsia="nl-NL"/>
        </w:rPr>
        <w:t xml:space="preserve">Beleidsregel experiment versterking organisatie eerstelijnszorg binnen Zvw-verzekerde zorg </w:t>
      </w:r>
    </w:p>
    <w:p w14:paraId="0967C824" w14:textId="433B68EF" w:rsidR="009C5ACB" w:rsidRPr="002E5110" w:rsidRDefault="002E5110">
      <w:pPr>
        <w:pStyle w:val="Kop1"/>
        <w:rPr>
          <w:rFonts w:ascii="Aptos" w:hAnsi="Aptos"/>
          <w:color w:val="auto"/>
          <w:sz w:val="22"/>
          <w:szCs w:val="22"/>
          <w:lang w:val="nl-NL"/>
        </w:rPr>
      </w:pPr>
      <w:r>
        <w:rPr>
          <w:rFonts w:ascii="Aptos" w:hAnsi="Aptos"/>
          <w:color w:val="auto"/>
          <w:sz w:val="22"/>
          <w:szCs w:val="22"/>
          <w:lang w:val="nl-NL"/>
        </w:rPr>
        <w:t>Samenvatting beleidsregel</w:t>
      </w:r>
    </w:p>
    <w:p w14:paraId="6D75B9CF" w14:textId="0E9F6615" w:rsidR="009C5ACB" w:rsidRPr="002E5110" w:rsidRDefault="009A500F">
      <w:pPr>
        <w:rPr>
          <w:rFonts w:ascii="Aptos" w:hAnsi="Aptos"/>
          <w:lang w:val="nl-NL"/>
        </w:rPr>
      </w:pPr>
      <w:r w:rsidRPr="002E5110">
        <w:rPr>
          <w:rFonts w:ascii="Aptos" w:hAnsi="Aptos"/>
          <w:lang w:val="nl-NL"/>
        </w:rPr>
        <w:br/>
      </w:r>
      <w:r w:rsidRPr="002E5110">
        <w:rPr>
          <w:rFonts w:ascii="Aptos" w:hAnsi="Aptos"/>
          <w:lang w:val="nl-NL"/>
        </w:rPr>
        <w:t>Deze beleidsregel van de Nederlandse Zorgautoriteit (NZa) maakt het mogelijk om te experimenteren met een nieuwe manier van bekostigen voor activiteiten die de organisatie en samenwerking in de eerstelijnszorg versterken. De regeling sluit aan bij de Visie eerstelijnszorg 2030 en de uitwerking van regionale eerstelijnssamenwerkingsverbanden (RESV</w:t>
      </w:r>
      <w:r w:rsidR="002E5110">
        <w:rPr>
          <w:rFonts w:ascii="Aptos" w:hAnsi="Aptos"/>
          <w:lang w:val="nl-NL"/>
        </w:rPr>
        <w:t>’</w:t>
      </w:r>
      <w:r w:rsidRPr="002E5110">
        <w:rPr>
          <w:rFonts w:ascii="Aptos" w:hAnsi="Aptos"/>
          <w:lang w:val="nl-NL"/>
        </w:rPr>
        <w:t>s)</w:t>
      </w:r>
      <w:r w:rsidR="002E5110">
        <w:rPr>
          <w:rFonts w:ascii="Aptos" w:hAnsi="Aptos"/>
          <w:lang w:val="nl-NL"/>
        </w:rPr>
        <w:t xml:space="preserve"> en hechte wijkverbanden</w:t>
      </w:r>
      <w:r w:rsidRPr="002E5110">
        <w:rPr>
          <w:rFonts w:ascii="Aptos" w:hAnsi="Aptos"/>
          <w:lang w:val="nl-NL"/>
        </w:rPr>
        <w:t>. Het gaat nadrukkelijk niet om zorgverlening aan individuele patiënten, maar om randvoorwaardelijke activiteiten die nodig zijn om goede</w:t>
      </w:r>
      <w:r w:rsidRPr="002E5110">
        <w:rPr>
          <w:rFonts w:ascii="Aptos" w:hAnsi="Aptos"/>
          <w:lang w:val="nl-NL"/>
        </w:rPr>
        <w:t>, toegankelijke en samenhangende eerstelijnszorg te organiseren.</w:t>
      </w:r>
    </w:p>
    <w:p w14:paraId="586624E5" w14:textId="77777777" w:rsidR="009C5ACB" w:rsidRPr="002E5110" w:rsidRDefault="009A500F">
      <w:pPr>
        <w:rPr>
          <w:rFonts w:ascii="Aptos" w:hAnsi="Aptos"/>
          <w:lang w:val="nl-NL"/>
        </w:rPr>
      </w:pPr>
      <w:r w:rsidRPr="002E5110">
        <w:rPr>
          <w:rFonts w:ascii="Aptos" w:hAnsi="Aptos"/>
          <w:lang w:val="nl-NL"/>
        </w:rPr>
        <w:t>De beleidsregel introduceert hiervoor een generieke Zvw-betaaltitel. Daarmee kunnen zorgverzekeraars en zorgaanbieders regionale afspraken maken over een samenhangend pakket aan RESV-hoofdtaken, die via een lumpsum worden bekostigd. Deze vorm van bekostiging is populatiegericht en niet gekoppeld aan individuele verzekerden, wat afwijkt van de gebruikelijke systematiek binnen de Zorgverzekeringswet. Juist daarom is gekozen voor een experimentele vorm.</w:t>
      </w:r>
    </w:p>
    <w:p w14:paraId="0C4196B6" w14:textId="77777777" w:rsidR="002E5110" w:rsidRDefault="009A500F">
      <w:pPr>
        <w:rPr>
          <w:rFonts w:ascii="Aptos" w:hAnsi="Aptos"/>
          <w:lang w:val="nl-NL"/>
        </w:rPr>
      </w:pPr>
      <w:r w:rsidRPr="002E5110">
        <w:rPr>
          <w:rFonts w:ascii="Aptos" w:hAnsi="Aptos"/>
          <w:lang w:val="nl-NL"/>
        </w:rPr>
        <w:t xml:space="preserve">De bekostiging ziet uitsluitend op de vijf hoofdtaken van een RESV zoals beschreven in de Visie eerstelijnszorg 2030: </w:t>
      </w:r>
    </w:p>
    <w:p w14:paraId="44BF260C" w14:textId="77777777" w:rsidR="002E5110" w:rsidRDefault="009A500F" w:rsidP="002E5110">
      <w:pPr>
        <w:pStyle w:val="Lijstalinea"/>
        <w:numPr>
          <w:ilvl w:val="0"/>
          <w:numId w:val="10"/>
        </w:numPr>
        <w:rPr>
          <w:rFonts w:ascii="Aptos" w:hAnsi="Aptos"/>
          <w:lang w:val="nl-NL"/>
        </w:rPr>
      </w:pPr>
      <w:r w:rsidRPr="002E5110">
        <w:rPr>
          <w:rFonts w:ascii="Aptos" w:hAnsi="Aptos"/>
          <w:lang w:val="nl-NL"/>
        </w:rPr>
        <w:t xml:space="preserve">mandatering en vertegenwoordiging van eerstelijnsdisciplines, </w:t>
      </w:r>
    </w:p>
    <w:p w14:paraId="10B1B435" w14:textId="77777777" w:rsidR="002E5110" w:rsidRDefault="009A500F" w:rsidP="002E5110">
      <w:pPr>
        <w:pStyle w:val="Lijstalinea"/>
        <w:numPr>
          <w:ilvl w:val="0"/>
          <w:numId w:val="10"/>
        </w:numPr>
        <w:rPr>
          <w:rFonts w:ascii="Aptos" w:hAnsi="Aptos"/>
          <w:lang w:val="nl-NL"/>
        </w:rPr>
      </w:pPr>
      <w:r w:rsidRPr="002E5110">
        <w:rPr>
          <w:rFonts w:ascii="Aptos" w:hAnsi="Aptos"/>
          <w:lang w:val="nl-NL"/>
        </w:rPr>
        <w:t xml:space="preserve">regionale organisatie van capaciteit en toegankelijkheid, </w:t>
      </w:r>
    </w:p>
    <w:p w14:paraId="1D08ACFC" w14:textId="77777777" w:rsidR="002E5110" w:rsidRDefault="009A500F" w:rsidP="002E5110">
      <w:pPr>
        <w:pStyle w:val="Lijstalinea"/>
        <w:numPr>
          <w:ilvl w:val="0"/>
          <w:numId w:val="10"/>
        </w:numPr>
        <w:rPr>
          <w:rFonts w:ascii="Aptos" w:hAnsi="Aptos"/>
          <w:lang w:val="nl-NL"/>
        </w:rPr>
      </w:pPr>
      <w:r w:rsidRPr="002E5110">
        <w:rPr>
          <w:rFonts w:ascii="Aptos" w:hAnsi="Aptos"/>
          <w:lang w:val="nl-NL"/>
        </w:rPr>
        <w:t xml:space="preserve">zorginhoudelijke afspraken voor specifieke patiëntengroepen, </w:t>
      </w:r>
    </w:p>
    <w:p w14:paraId="03D49C74" w14:textId="18AB6F1C" w:rsidR="002E5110" w:rsidRDefault="009A500F" w:rsidP="002E5110">
      <w:pPr>
        <w:pStyle w:val="Lijstalinea"/>
        <w:numPr>
          <w:ilvl w:val="0"/>
          <w:numId w:val="10"/>
        </w:numPr>
        <w:rPr>
          <w:rFonts w:ascii="Aptos" w:hAnsi="Aptos"/>
          <w:lang w:val="nl-NL"/>
        </w:rPr>
      </w:pPr>
      <w:r w:rsidRPr="002E5110">
        <w:rPr>
          <w:rFonts w:ascii="Aptos" w:hAnsi="Aptos"/>
          <w:lang w:val="nl-NL"/>
        </w:rPr>
        <w:t>ondersteuning van hechte wijkverbanden</w:t>
      </w:r>
    </w:p>
    <w:p w14:paraId="3269AEC3" w14:textId="77777777" w:rsidR="002E5110" w:rsidRDefault="009A500F" w:rsidP="002E5110">
      <w:pPr>
        <w:pStyle w:val="Lijstalinea"/>
        <w:numPr>
          <w:ilvl w:val="0"/>
          <w:numId w:val="10"/>
        </w:numPr>
        <w:rPr>
          <w:rFonts w:ascii="Aptos" w:hAnsi="Aptos"/>
          <w:lang w:val="nl-NL"/>
        </w:rPr>
      </w:pPr>
      <w:r w:rsidRPr="002E5110">
        <w:rPr>
          <w:rFonts w:ascii="Aptos" w:hAnsi="Aptos"/>
          <w:lang w:val="nl-NL"/>
        </w:rPr>
        <w:t xml:space="preserve">faciliteren van alle eerstelijnszorgaanbieders. </w:t>
      </w:r>
    </w:p>
    <w:p w14:paraId="54FAE434" w14:textId="77777777" w:rsidR="002E5110" w:rsidRDefault="009A500F" w:rsidP="002E5110">
      <w:pPr>
        <w:rPr>
          <w:rFonts w:ascii="Aptos" w:hAnsi="Aptos"/>
          <w:lang w:val="nl-NL"/>
        </w:rPr>
      </w:pPr>
      <w:r w:rsidRPr="002E5110">
        <w:rPr>
          <w:rFonts w:ascii="Aptos" w:hAnsi="Aptos"/>
          <w:lang w:val="nl-NL"/>
        </w:rPr>
        <w:t>Ook de eigen taken van hechte wijkverbanden vallen hieronder.</w:t>
      </w:r>
      <w:r w:rsidR="002E5110">
        <w:rPr>
          <w:rFonts w:ascii="Aptos" w:hAnsi="Aptos"/>
          <w:lang w:val="nl-NL"/>
        </w:rPr>
        <w:t>:</w:t>
      </w:r>
    </w:p>
    <w:p w14:paraId="21DF1FC9" w14:textId="44AC6CE6" w:rsidR="002E5110" w:rsidRPr="002E5110" w:rsidRDefault="002E5110" w:rsidP="002E5110">
      <w:pPr>
        <w:pStyle w:val="Lijstalinea"/>
        <w:numPr>
          <w:ilvl w:val="0"/>
          <w:numId w:val="12"/>
        </w:numPr>
        <w:rPr>
          <w:rFonts w:ascii="Aptos" w:hAnsi="Aptos"/>
          <w:lang w:val="nl-NL"/>
        </w:rPr>
      </w:pPr>
      <w:r w:rsidRPr="002E5110">
        <w:rPr>
          <w:rFonts w:ascii="Aptos" w:hAnsi="Aptos"/>
          <w:lang w:val="nl-NL"/>
        </w:rPr>
        <w:t>aanspreekbaar zijn om samenwerkingsafspraken te maken;</w:t>
      </w:r>
    </w:p>
    <w:p w14:paraId="148A6A7E" w14:textId="012B2F3E" w:rsidR="002E5110" w:rsidRPr="002E5110" w:rsidRDefault="002E5110" w:rsidP="002E5110">
      <w:pPr>
        <w:pStyle w:val="Lijstalinea"/>
        <w:numPr>
          <w:ilvl w:val="0"/>
          <w:numId w:val="12"/>
        </w:numPr>
        <w:rPr>
          <w:rFonts w:ascii="Aptos" w:hAnsi="Aptos"/>
          <w:lang w:val="nl-NL"/>
        </w:rPr>
      </w:pPr>
      <w:r w:rsidRPr="002E5110">
        <w:rPr>
          <w:rFonts w:ascii="Aptos" w:hAnsi="Aptos"/>
          <w:lang w:val="nl-NL"/>
        </w:rPr>
        <w:t>gestructureerd ontwikkelingen bespreken en knelpunten verzamelen in de wijk.</w:t>
      </w:r>
    </w:p>
    <w:p w14:paraId="61A25834" w14:textId="175FE5AD" w:rsidR="009C5ACB" w:rsidRPr="002E5110" w:rsidRDefault="009A500F" w:rsidP="002E5110">
      <w:pPr>
        <w:rPr>
          <w:rFonts w:ascii="Aptos" w:hAnsi="Aptos"/>
          <w:lang w:val="nl-NL"/>
        </w:rPr>
      </w:pPr>
      <w:r w:rsidRPr="002E5110">
        <w:rPr>
          <w:rFonts w:ascii="Aptos" w:hAnsi="Aptos"/>
          <w:lang w:val="nl-NL"/>
        </w:rPr>
        <w:t>Het is niet verplicht dat alle vijf hoofdtaken direct worden uitgevoerd; ook één taak of een deel daarvan kan onderdeel zijn van de afspraken.</w:t>
      </w:r>
    </w:p>
    <w:p w14:paraId="2C1EBC20" w14:textId="77777777" w:rsidR="009C5ACB" w:rsidRPr="002E5110" w:rsidRDefault="009A500F">
      <w:pPr>
        <w:rPr>
          <w:rFonts w:ascii="Aptos" w:hAnsi="Aptos"/>
          <w:lang w:val="nl-NL"/>
        </w:rPr>
      </w:pPr>
      <w:r w:rsidRPr="002E5110">
        <w:rPr>
          <w:rFonts w:ascii="Aptos" w:hAnsi="Aptos"/>
          <w:lang w:val="nl-NL"/>
        </w:rPr>
        <w:t xml:space="preserve">Van groot belang is dat alleen activiteiten mogen worden bekostigd die kunnen worden aangemerkt als kosten in de zin van de Zorgverzekeringswet. Samenwerking over domeinen heen is inhoudelijk gewenst, maar financiering moet altijd binnen het juiste wettelijke domein plaatsvinden. Kosten die thuishoren in bijvoorbeeld de Wet langdurige zorg of het gemeentelijk domein (zoals de Wmo) kunnen niet via deze prestatie worden vergoed. Elk </w:t>
      </w:r>
      <w:r w:rsidRPr="002E5110">
        <w:rPr>
          <w:rFonts w:ascii="Aptos" w:hAnsi="Aptos"/>
          <w:lang w:val="nl-NL"/>
        </w:rPr>
        <w:lastRenderedPageBreak/>
        <w:t>domein draagt zijn eigen kosten, en in contracten moeten hierover duidelijke afspraken worden gemaakt.</w:t>
      </w:r>
    </w:p>
    <w:p w14:paraId="3223ED6B" w14:textId="77777777" w:rsidR="009C5ACB" w:rsidRPr="002E5110" w:rsidRDefault="009A500F">
      <w:pPr>
        <w:rPr>
          <w:rFonts w:ascii="Aptos" w:hAnsi="Aptos"/>
          <w:lang w:val="nl-NL"/>
        </w:rPr>
      </w:pPr>
      <w:r w:rsidRPr="00AC798F">
        <w:rPr>
          <w:rFonts w:ascii="Aptos" w:hAnsi="Aptos"/>
          <w:highlight w:val="yellow"/>
          <w:lang w:val="nl-NL"/>
        </w:rPr>
        <w:t>Binnen deze kaders is expliciet ruimte voor afspraken over de financiering van monodisciplinaire regionale samenwerkingsverbanden. Vergoedingen die het mogelijk maken dat monodisciplines met afvaardiging en mandaat deelnemen aan een RESV, worden gezien als onderdeel van het takenpakket van het RESV.</w:t>
      </w:r>
      <w:r w:rsidRPr="002E5110">
        <w:rPr>
          <w:rFonts w:ascii="Aptos" w:hAnsi="Aptos"/>
          <w:lang w:val="nl-NL"/>
        </w:rPr>
        <w:t xml:space="preserve"> </w:t>
      </w:r>
      <w:r w:rsidRPr="00396D75">
        <w:rPr>
          <w:rFonts w:ascii="Aptos" w:hAnsi="Aptos"/>
          <w:highlight w:val="yellow"/>
          <w:lang w:val="nl-NL"/>
        </w:rPr>
        <w:t>Voorwaarde is wel dat deze vergoedingen goed te onderbouwen zijn als randvoorwaardelijk, zinnig en passend in relatie tot de verzekerde zorg. Het gaat dus niet om structurele financiering van monodisciplinaire activiteiten op zichzelf, maar om ondersteuning die noodzakelijk is voor goede regionale afstemming en vertegenwoordiging.</w:t>
      </w:r>
    </w:p>
    <w:p w14:paraId="2757FAE3" w14:textId="77777777" w:rsidR="009C5ACB" w:rsidRPr="002E5110" w:rsidRDefault="009A500F">
      <w:pPr>
        <w:rPr>
          <w:rFonts w:ascii="Aptos" w:hAnsi="Aptos"/>
          <w:lang w:val="nl-NL"/>
        </w:rPr>
      </w:pPr>
      <w:r w:rsidRPr="002E5110">
        <w:rPr>
          <w:rFonts w:ascii="Aptos" w:hAnsi="Aptos"/>
          <w:lang w:val="nl-NL"/>
        </w:rPr>
        <w:t>Dit legt een grote verantwoordelijkheid bij zorgverzekeraars in de contractering. Zij moeten beoordelen of regionale afspraken, inclusief die over monodisciplines, binnen de grenzen van de Zorgverzekeringswet vallen en geen sprake is van dubbele bekostiging of domeinvermenging. Het oordeel of een afspraak aan deze criteria voldoet, ligt in eerste instantie bij de zorgverzekeraar.</w:t>
      </w:r>
    </w:p>
    <w:p w14:paraId="7540A835" w14:textId="77777777" w:rsidR="009C5ACB" w:rsidRPr="002E5110" w:rsidRDefault="009A500F">
      <w:pPr>
        <w:rPr>
          <w:rFonts w:ascii="Aptos" w:hAnsi="Aptos"/>
          <w:lang w:val="nl-NL"/>
        </w:rPr>
      </w:pPr>
      <w:r w:rsidRPr="002E5110">
        <w:rPr>
          <w:rFonts w:ascii="Aptos" w:hAnsi="Aptos"/>
          <w:lang w:val="nl-NL"/>
        </w:rPr>
        <w:t>De beleidsregel kent twee prestaties: één voor bekostiging tussen zorgverzekeraar en zorgaanbieder (bijvoorbeeld een RESV met rechtspersoonlijkheid) en één voor onderlinge dienstverlening tussen zorgaanbieders. Dit maakt het mogelijk dat RESV-hoofdtaken flexibel worden belegd en uitgevoerd door verschillende partijen in de regio.</w:t>
      </w:r>
    </w:p>
    <w:p w14:paraId="4C81FFF9" w14:textId="77777777" w:rsidR="009C5ACB" w:rsidRPr="002E5110" w:rsidRDefault="009A500F">
      <w:pPr>
        <w:rPr>
          <w:rFonts w:ascii="Aptos" w:hAnsi="Aptos"/>
          <w:lang w:val="nl-NL"/>
        </w:rPr>
      </w:pPr>
      <w:r w:rsidRPr="002E5110">
        <w:rPr>
          <w:rFonts w:ascii="Aptos" w:hAnsi="Aptos"/>
          <w:lang w:val="nl-NL"/>
        </w:rPr>
        <w:t>Omdat deze manier van bekostigen nieuw is, wordt het experiment gemonitord en geëvalueerd. Daarbij wordt gekeken naar impact, doelmatigheid, kostenbeheersing en uitvoerbaarheid. De beleidsregel geldt uiterlijk tot 1 januari 2032, de wettelijk maximale looptijd voor experimenten. Indien eerder duidelijk wordt dat een structurele bekostiging mogelijk of juist niet wenselijk is, kan het experiment eerder worden beëindigd.</w:t>
      </w:r>
      <w:r w:rsidRPr="002E5110">
        <w:rPr>
          <w:rFonts w:ascii="Aptos" w:hAnsi="Aptos"/>
          <w:lang w:val="nl-NL"/>
        </w:rPr>
        <w:br/>
      </w:r>
    </w:p>
    <w:sectPr w:rsidR="009C5ACB" w:rsidRPr="002E511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abstractNum w:abstractNumId="9" w15:restartNumberingAfterBreak="0">
    <w:nsid w:val="02BA58D7"/>
    <w:multiLevelType w:val="hybridMultilevel"/>
    <w:tmpl w:val="C97070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C005EA2"/>
    <w:multiLevelType w:val="hybridMultilevel"/>
    <w:tmpl w:val="C970704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2C813D1"/>
    <w:multiLevelType w:val="multilevel"/>
    <w:tmpl w:val="F0106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41147095">
    <w:abstractNumId w:val="8"/>
  </w:num>
  <w:num w:numId="2" w16cid:durableId="346446814">
    <w:abstractNumId w:val="6"/>
  </w:num>
  <w:num w:numId="3" w16cid:durableId="488711407">
    <w:abstractNumId w:val="5"/>
  </w:num>
  <w:num w:numId="4" w16cid:durableId="930243101">
    <w:abstractNumId w:val="4"/>
  </w:num>
  <w:num w:numId="5" w16cid:durableId="1230070516">
    <w:abstractNumId w:val="7"/>
  </w:num>
  <w:num w:numId="6" w16cid:durableId="1326325991">
    <w:abstractNumId w:val="3"/>
  </w:num>
  <w:num w:numId="7" w16cid:durableId="86731786">
    <w:abstractNumId w:val="2"/>
  </w:num>
  <w:num w:numId="8" w16cid:durableId="120346552">
    <w:abstractNumId w:val="1"/>
  </w:num>
  <w:num w:numId="9" w16cid:durableId="1762605565">
    <w:abstractNumId w:val="0"/>
  </w:num>
  <w:num w:numId="10" w16cid:durableId="1549608344">
    <w:abstractNumId w:val="10"/>
  </w:num>
  <w:num w:numId="11" w16cid:durableId="648631449">
    <w:abstractNumId w:val="11"/>
  </w:num>
  <w:num w:numId="12" w16cid:durableId="1923102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628ED"/>
    <w:rsid w:val="0015074B"/>
    <w:rsid w:val="0029639D"/>
    <w:rsid w:val="002E5110"/>
    <w:rsid w:val="00326F90"/>
    <w:rsid w:val="00396D75"/>
    <w:rsid w:val="0055635B"/>
    <w:rsid w:val="009C5ACB"/>
    <w:rsid w:val="00AA1D8D"/>
    <w:rsid w:val="00AC798F"/>
    <w:rsid w:val="00B47730"/>
    <w:rsid w:val="00CB0664"/>
    <w:rsid w:val="00EF433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30DBBB"/>
  <w14:defaultImageDpi w14:val="300"/>
  <w15:docId w15:val="{ED262B8B-BE1F-449B-BF10-077062601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alweb">
    <w:name w:val="Normal (Web)"/>
    <w:basedOn w:val="Standaard"/>
    <w:uiPriority w:val="99"/>
    <w:semiHidden/>
    <w:unhideWhenUsed/>
    <w:rsid w:val="002E5110"/>
    <w:pPr>
      <w:spacing w:before="100" w:beforeAutospacing="1" w:after="100" w:afterAutospacing="1" w:line="240" w:lineRule="auto"/>
    </w:pPr>
    <w:rPr>
      <w:rFonts w:ascii="Times New Roman" w:eastAsia="Times New Roman" w:hAnsi="Times New Roman" w:cs="Times New Roman"/>
      <w:sz w:val="24"/>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644</Words>
  <Characters>3547</Characters>
  <Application>Microsoft Office Word</Application>
  <DocSecurity>0</DocSecurity>
  <Lines>29</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4183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Lisenka Vink | ZONH</cp:lastModifiedBy>
  <cp:revision>4</cp:revision>
  <dcterms:created xsi:type="dcterms:W3CDTF">2026-01-28T10:17:00Z</dcterms:created>
  <dcterms:modified xsi:type="dcterms:W3CDTF">2026-02-19T08:54:00Z</dcterms:modified>
  <cp:category/>
</cp:coreProperties>
</file>